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8AC" w:rsidRPr="002B38AC" w:rsidRDefault="002B38AC" w:rsidP="002B38AC">
      <w:pPr>
        <w:jc w:val="center"/>
        <w:rPr>
          <w:rFonts w:cs="Arial"/>
          <w:sz w:val="28"/>
          <w:szCs w:val="28"/>
        </w:rPr>
      </w:pPr>
      <w:r w:rsidRPr="002B38AC">
        <w:rPr>
          <w:rFonts w:cs="Arial"/>
          <w:sz w:val="28"/>
          <w:szCs w:val="28"/>
        </w:rPr>
        <w:t>SEVENTH PLENARY SESSION</w:t>
      </w:r>
    </w:p>
    <w:p w:rsidR="002B38AC" w:rsidRPr="002B38AC" w:rsidRDefault="002B38AC" w:rsidP="002B38AC">
      <w:pPr>
        <w:jc w:val="center"/>
        <w:rPr>
          <w:rFonts w:cs="Arial"/>
          <w:sz w:val="28"/>
          <w:szCs w:val="28"/>
        </w:rPr>
      </w:pPr>
      <w:r w:rsidRPr="002B38AC">
        <w:rPr>
          <w:rFonts w:cs="Arial"/>
          <w:sz w:val="28"/>
          <w:szCs w:val="28"/>
        </w:rPr>
        <w:t>OF THE SOUTH EAST EUROPEAN COOPERATION PROCESS PARLIAMENTARY ASSEMBLY (SEECP PA)</w:t>
      </w:r>
    </w:p>
    <w:p w:rsidR="002B38AC" w:rsidRPr="002B38AC" w:rsidRDefault="002B38AC" w:rsidP="002B38AC">
      <w:pPr>
        <w:jc w:val="center"/>
        <w:rPr>
          <w:rFonts w:ascii="Calibri Light" w:hAnsi="Calibri Light"/>
          <w:sz w:val="24"/>
        </w:rPr>
      </w:pPr>
    </w:p>
    <w:p w:rsidR="002B38AC" w:rsidRPr="002B38AC" w:rsidRDefault="002B38AC" w:rsidP="002B38AC">
      <w:pPr>
        <w:jc w:val="center"/>
        <w:rPr>
          <w:rFonts w:cs="Arial"/>
          <w:sz w:val="28"/>
          <w:szCs w:val="28"/>
        </w:rPr>
      </w:pPr>
      <w:r w:rsidRPr="002B38AC">
        <w:rPr>
          <w:rFonts w:cs="Arial"/>
          <w:sz w:val="28"/>
          <w:szCs w:val="28"/>
        </w:rPr>
        <w:t>Prishtina, 24 June 2020</w:t>
      </w:r>
    </w:p>
    <w:p w:rsidR="001F5DA4" w:rsidRDefault="001F5DA4" w:rsidP="00BE3531">
      <w:pPr>
        <w:jc w:val="center"/>
        <w:rPr>
          <w:rFonts w:ascii="Garamond" w:hAnsi="Garamond"/>
          <w:color w:val="FF0000"/>
          <w:sz w:val="24"/>
          <w:szCs w:val="24"/>
          <w:lang w:val="en-US"/>
        </w:rPr>
      </w:pPr>
    </w:p>
    <w:p w:rsidR="006D1482" w:rsidRPr="00DB0AE4" w:rsidRDefault="006D1482" w:rsidP="006D1482">
      <w:pPr>
        <w:tabs>
          <w:tab w:val="left" w:pos="3463"/>
        </w:tabs>
        <w:jc w:val="center"/>
        <w:rPr>
          <w:sz w:val="28"/>
          <w:szCs w:val="28"/>
        </w:rPr>
      </w:pPr>
      <w:r>
        <w:rPr>
          <w:sz w:val="28"/>
          <w:szCs w:val="28"/>
        </w:rPr>
        <w:t>DECLARATION</w:t>
      </w:r>
    </w:p>
    <w:p w:rsidR="006D1482" w:rsidRDefault="006D1482" w:rsidP="00743154">
      <w:pPr>
        <w:ind w:left="2124" w:hanging="2124"/>
        <w:rPr>
          <w:rFonts w:cs="Arial"/>
          <w:sz w:val="24"/>
          <w:szCs w:val="24"/>
          <w:lang w:val="en-GB"/>
        </w:rPr>
      </w:pPr>
    </w:p>
    <w:p w:rsidR="00D737A9" w:rsidRDefault="006D1482" w:rsidP="00743154">
      <w:pPr>
        <w:ind w:left="2124" w:hanging="2124"/>
        <w:rPr>
          <w:rFonts w:cs="Arial"/>
          <w:sz w:val="24"/>
          <w:szCs w:val="24"/>
          <w:lang w:val="en-GB"/>
        </w:rPr>
      </w:pPr>
      <w:r w:rsidRPr="001064C5">
        <w:rPr>
          <w:rFonts w:cs="Arial"/>
          <w:sz w:val="24"/>
          <w:szCs w:val="24"/>
          <w:lang w:val="en-GB"/>
        </w:rPr>
        <w:t>WE, THE SEECP PARLIAMENTARY ASSEMBLY:</w:t>
      </w:r>
    </w:p>
    <w:p w:rsidR="006D1482" w:rsidRDefault="006D1482" w:rsidP="00743154">
      <w:pPr>
        <w:ind w:left="2124" w:hanging="2124"/>
        <w:rPr>
          <w:rFonts w:cs="Arial"/>
          <w:sz w:val="24"/>
          <w:szCs w:val="24"/>
          <w:lang w:val="en-GB"/>
        </w:rPr>
      </w:pPr>
    </w:p>
    <w:p w:rsidR="006D1482" w:rsidRPr="006D1482" w:rsidRDefault="006D1482" w:rsidP="006D1482">
      <w:pPr>
        <w:pStyle w:val="ListParagraph"/>
        <w:numPr>
          <w:ilvl w:val="0"/>
          <w:numId w:val="12"/>
        </w:numPr>
        <w:autoSpaceDE w:val="0"/>
        <w:autoSpaceDN w:val="0"/>
        <w:adjustRightInd w:val="0"/>
        <w:spacing w:after="0" w:line="240" w:lineRule="auto"/>
        <w:contextualSpacing w:val="0"/>
        <w:jc w:val="both"/>
        <w:rPr>
          <w:rFonts w:ascii="Book Antiqua" w:hAnsi="Book Antiqua" w:cs="Book Antiqua"/>
          <w:b/>
          <w:bCs/>
          <w:sz w:val="24"/>
          <w:szCs w:val="24"/>
          <w:u w:val="single"/>
          <w:lang w:val="en-US"/>
        </w:rPr>
      </w:pPr>
      <w:r w:rsidRPr="00893059">
        <w:rPr>
          <w:rFonts w:ascii="Book Antiqua" w:hAnsi="Book Antiqua" w:cs="Book Antiqua"/>
          <w:b/>
          <w:bCs/>
          <w:color w:val="000000"/>
          <w:sz w:val="24"/>
          <w:szCs w:val="24"/>
          <w:lang w:val="en-US"/>
        </w:rPr>
        <w:t>Reaffirming</w:t>
      </w:r>
      <w:r w:rsidRPr="00893059">
        <w:rPr>
          <w:rFonts w:ascii="Book Antiqua" w:hAnsi="Book Antiqua" w:cs="Book Antiqua"/>
          <w:color w:val="000000"/>
          <w:sz w:val="24"/>
          <w:szCs w:val="24"/>
          <w:lang w:val="en-US"/>
        </w:rPr>
        <w:t xml:space="preserve"> the principles enshrined in the Declaration on Good-Neighborly Relations, Stability, Security and Cooperation in the Balkans, signed in Sofia in July 1996, marking the beginning of the South-East European Cooperation Process (SEECP) and</w:t>
      </w:r>
      <w:r w:rsidRPr="00893059">
        <w:rPr>
          <w:rFonts w:ascii="Book Antiqua" w:hAnsi="Book Antiqua" w:cs="Book Antiqua"/>
          <w:color w:val="000000"/>
          <w:sz w:val="24"/>
          <w:szCs w:val="24"/>
          <w:lang w:val="bg-BG"/>
        </w:rPr>
        <w:t xml:space="preserve"> </w:t>
      </w:r>
      <w:r w:rsidRPr="00893059">
        <w:rPr>
          <w:rFonts w:ascii="Book Antiqua" w:hAnsi="Book Antiqua" w:cs="Book Antiqua"/>
          <w:color w:val="000000"/>
          <w:sz w:val="24"/>
          <w:szCs w:val="24"/>
          <w:lang w:val="en-US"/>
        </w:rPr>
        <w:t>the Charter of Good Neighborly Relations, Stability, Security and Cooperation, signed in Bucharest in 2000, as the founding documents</w:t>
      </w:r>
      <w:r w:rsidRPr="00B451D2">
        <w:rPr>
          <w:rFonts w:ascii="Book Antiqua" w:hAnsi="Book Antiqua" w:cs="Book Antiqua"/>
          <w:color w:val="FF0000"/>
          <w:sz w:val="24"/>
          <w:szCs w:val="24"/>
          <w:lang w:val="en-US"/>
        </w:rPr>
        <w:t xml:space="preserve"> </w:t>
      </w:r>
      <w:r w:rsidRPr="009922EE">
        <w:rPr>
          <w:rFonts w:ascii="Book Antiqua" w:hAnsi="Book Antiqua" w:cs="Book Antiqua"/>
          <w:sz w:val="24"/>
          <w:szCs w:val="24"/>
          <w:lang w:val="en-US"/>
        </w:rPr>
        <w:t>of the SEECP;</w:t>
      </w:r>
    </w:p>
    <w:p w:rsidR="006D1482" w:rsidRPr="009922EE" w:rsidRDefault="006D1482" w:rsidP="006D1482">
      <w:pPr>
        <w:pStyle w:val="ListParagraph"/>
        <w:numPr>
          <w:ilvl w:val="0"/>
          <w:numId w:val="12"/>
        </w:numPr>
        <w:autoSpaceDE w:val="0"/>
        <w:autoSpaceDN w:val="0"/>
        <w:adjustRightInd w:val="0"/>
        <w:spacing w:after="0" w:line="240" w:lineRule="auto"/>
        <w:jc w:val="both"/>
        <w:rPr>
          <w:rFonts w:ascii="Book Antiqua" w:hAnsi="Book Antiqua"/>
          <w:b/>
          <w:sz w:val="24"/>
          <w:szCs w:val="24"/>
          <w:u w:val="single"/>
          <w:lang w:val="en-US"/>
        </w:rPr>
      </w:pPr>
      <w:r w:rsidRPr="009922EE">
        <w:rPr>
          <w:rFonts w:ascii="Book Antiqua" w:hAnsi="Book Antiqua"/>
          <w:b/>
          <w:sz w:val="24"/>
          <w:szCs w:val="24"/>
          <w:lang w:val="en-US"/>
        </w:rPr>
        <w:t xml:space="preserve">Highlighting </w:t>
      </w:r>
      <w:r w:rsidRPr="009922EE">
        <w:rPr>
          <w:rFonts w:ascii="Book Antiqua" w:hAnsi="Book Antiqua"/>
          <w:sz w:val="24"/>
          <w:szCs w:val="24"/>
          <w:lang w:val="en-US"/>
        </w:rPr>
        <w:t>the main objectives of SEECP</w:t>
      </w:r>
      <w:r>
        <w:rPr>
          <w:rFonts w:ascii="Book Antiqua" w:hAnsi="Book Antiqua"/>
          <w:sz w:val="24"/>
          <w:szCs w:val="24"/>
          <w:lang w:val="en-US"/>
        </w:rPr>
        <w:t xml:space="preserve"> PA</w:t>
      </w:r>
      <w:r w:rsidRPr="009922EE">
        <w:rPr>
          <w:rFonts w:ascii="Book Antiqua" w:hAnsi="Book Antiqua"/>
          <w:sz w:val="24"/>
          <w:szCs w:val="24"/>
          <w:lang w:val="en-US"/>
        </w:rPr>
        <w:t xml:space="preserve">, as defined in the Charter, which are enhancement of political and security cooperation, fostering economic cooperation, and enlargement of cooperation in the fields of human dimension, democracy, justice and combating illegal activities; </w:t>
      </w:r>
    </w:p>
    <w:p w:rsidR="006D1482" w:rsidRPr="009922EE" w:rsidRDefault="006D1482" w:rsidP="006D1482">
      <w:pPr>
        <w:pStyle w:val="ListParagraph"/>
        <w:numPr>
          <w:ilvl w:val="0"/>
          <w:numId w:val="12"/>
        </w:numPr>
        <w:autoSpaceDE w:val="0"/>
        <w:autoSpaceDN w:val="0"/>
        <w:adjustRightInd w:val="0"/>
        <w:spacing w:after="0" w:line="240" w:lineRule="auto"/>
        <w:jc w:val="both"/>
        <w:rPr>
          <w:rFonts w:ascii="Book Antiqua" w:hAnsi="Book Antiqua"/>
          <w:b/>
          <w:sz w:val="24"/>
          <w:szCs w:val="24"/>
          <w:u w:val="single"/>
          <w:lang w:val="en-US"/>
        </w:rPr>
      </w:pPr>
      <w:r w:rsidRPr="009922EE">
        <w:rPr>
          <w:rFonts w:ascii="Book Antiqua" w:hAnsi="Book Antiqua"/>
          <w:b/>
          <w:bCs/>
          <w:sz w:val="24"/>
          <w:szCs w:val="24"/>
          <w:lang w:val="en-US"/>
        </w:rPr>
        <w:t xml:space="preserve">Confirming </w:t>
      </w:r>
      <w:r w:rsidRPr="009922EE">
        <w:rPr>
          <w:rFonts w:ascii="Book Antiqua" w:hAnsi="Book Antiqua"/>
          <w:sz w:val="24"/>
          <w:szCs w:val="24"/>
          <w:lang w:val="en-US"/>
        </w:rPr>
        <w:t>the commitment to the process of European and Euro-Atlantic integration of the SEECP Participants and reaffirming the importance of the EU enlargement process as a mechanism to secure peace, stability and security in the region;</w:t>
      </w:r>
    </w:p>
    <w:p w:rsidR="006D1482" w:rsidRPr="009922EE" w:rsidRDefault="006D1482" w:rsidP="006D1482">
      <w:pPr>
        <w:pStyle w:val="ListParagraph"/>
        <w:numPr>
          <w:ilvl w:val="0"/>
          <w:numId w:val="12"/>
        </w:numPr>
        <w:autoSpaceDE w:val="0"/>
        <w:autoSpaceDN w:val="0"/>
        <w:adjustRightInd w:val="0"/>
        <w:spacing w:after="0" w:line="240" w:lineRule="auto"/>
        <w:jc w:val="both"/>
        <w:rPr>
          <w:rFonts w:ascii="Book Antiqua" w:hAnsi="Book Antiqua"/>
          <w:b/>
          <w:sz w:val="24"/>
          <w:szCs w:val="24"/>
          <w:u w:val="single"/>
          <w:lang w:val="en-US"/>
        </w:rPr>
      </w:pPr>
      <w:r w:rsidRPr="009922EE">
        <w:rPr>
          <w:rFonts w:ascii="Book Antiqua" w:hAnsi="Book Antiqua"/>
          <w:b/>
          <w:sz w:val="24"/>
          <w:szCs w:val="24"/>
          <w:lang w:val="en-US"/>
        </w:rPr>
        <w:t>Appreciating</w:t>
      </w:r>
      <w:r w:rsidRPr="009922EE">
        <w:rPr>
          <w:rFonts w:ascii="Book Antiqua" w:hAnsi="Book Antiqua"/>
          <w:sz w:val="24"/>
          <w:szCs w:val="24"/>
          <w:lang w:val="en-US"/>
        </w:rPr>
        <w:t xml:space="preserve"> the role of the Regional Cooperation Council, as an operating mechanism of the SEECP, in fostering regional cooperation and supporting the European perspective of South East Europe; </w:t>
      </w:r>
    </w:p>
    <w:p w:rsidR="006D1482" w:rsidRPr="006D1482" w:rsidRDefault="006D1482" w:rsidP="006D1482">
      <w:pPr>
        <w:pStyle w:val="ListParagraph"/>
        <w:numPr>
          <w:ilvl w:val="0"/>
          <w:numId w:val="12"/>
        </w:numPr>
        <w:autoSpaceDE w:val="0"/>
        <w:autoSpaceDN w:val="0"/>
        <w:adjustRightInd w:val="0"/>
        <w:spacing w:after="0" w:line="240" w:lineRule="auto"/>
        <w:contextualSpacing w:val="0"/>
        <w:jc w:val="both"/>
        <w:rPr>
          <w:rFonts w:ascii="Book Antiqua" w:hAnsi="Book Antiqua" w:cs="Book Antiqua"/>
          <w:b/>
          <w:bCs/>
          <w:sz w:val="24"/>
          <w:szCs w:val="24"/>
          <w:u w:val="single"/>
          <w:lang w:val="en-US"/>
        </w:rPr>
      </w:pPr>
      <w:r w:rsidRPr="009922EE">
        <w:rPr>
          <w:rFonts w:ascii="Book Antiqua" w:hAnsi="Book Antiqua"/>
          <w:b/>
          <w:sz w:val="24"/>
          <w:szCs w:val="24"/>
          <w:lang w:val="en-US"/>
        </w:rPr>
        <w:t>Acknowledging</w:t>
      </w:r>
      <w:r w:rsidRPr="009922EE">
        <w:rPr>
          <w:rFonts w:ascii="Book Antiqua" w:hAnsi="Book Antiqua"/>
          <w:sz w:val="24"/>
          <w:szCs w:val="24"/>
          <w:lang w:val="en-US"/>
        </w:rPr>
        <w:t xml:space="preserve"> the importance of the cooperation between SEECP PA and the European Parliament for the realization of the goals of the Assembly and committing to </w:t>
      </w:r>
      <w:r>
        <w:rPr>
          <w:rFonts w:ascii="Book Antiqua" w:hAnsi="Book Antiqua"/>
          <w:sz w:val="24"/>
          <w:szCs w:val="24"/>
          <w:lang w:val="en-US"/>
        </w:rPr>
        <w:t>establish</w:t>
      </w:r>
      <w:r w:rsidRPr="009922EE">
        <w:rPr>
          <w:rFonts w:ascii="Book Antiqua" w:hAnsi="Book Antiqua"/>
          <w:sz w:val="24"/>
          <w:szCs w:val="24"/>
          <w:lang w:val="en-US"/>
        </w:rPr>
        <w:t xml:space="preserve"> this cooperation</w:t>
      </w:r>
      <w:r>
        <w:rPr>
          <w:rFonts w:ascii="Book Antiqua" w:hAnsi="Book Antiqua"/>
          <w:sz w:val="24"/>
          <w:szCs w:val="24"/>
          <w:lang w:val="en-US"/>
        </w:rPr>
        <w:t>;</w:t>
      </w:r>
    </w:p>
    <w:p w:rsidR="006D1482" w:rsidRPr="001064C5" w:rsidRDefault="006D1482" w:rsidP="006D1482">
      <w:pPr>
        <w:pStyle w:val="ListParagraph"/>
        <w:numPr>
          <w:ilvl w:val="0"/>
          <w:numId w:val="12"/>
        </w:numPr>
        <w:jc w:val="both"/>
        <w:rPr>
          <w:rFonts w:ascii="Arial" w:hAnsi="Arial" w:cs="Arial"/>
          <w:sz w:val="24"/>
          <w:szCs w:val="24"/>
          <w:lang w:val="en-GB"/>
        </w:rPr>
      </w:pPr>
      <w:r w:rsidRPr="00F60146">
        <w:rPr>
          <w:rFonts w:ascii="Book Antiqua" w:hAnsi="Book Antiqua"/>
          <w:b/>
          <w:sz w:val="24"/>
          <w:szCs w:val="24"/>
          <w:lang w:val="en-US"/>
        </w:rPr>
        <w:t>Encouraged</w:t>
      </w:r>
      <w:r w:rsidRPr="00F60146">
        <w:rPr>
          <w:rFonts w:ascii="Book Antiqua" w:hAnsi="Book Antiqua"/>
          <w:sz w:val="24"/>
          <w:szCs w:val="24"/>
          <w:lang w:val="en-US"/>
        </w:rPr>
        <w:t xml:space="preserve"> by the positive work of </w:t>
      </w:r>
      <w:r>
        <w:rPr>
          <w:rFonts w:ascii="Book Antiqua" w:hAnsi="Book Antiqua"/>
          <w:sz w:val="24"/>
          <w:szCs w:val="24"/>
          <w:lang w:val="en-US"/>
        </w:rPr>
        <w:t>Committee  on Social Development, Education, Research and Science and its report and resolution;</w:t>
      </w:r>
    </w:p>
    <w:p w:rsidR="006D1482" w:rsidRPr="009922EE" w:rsidRDefault="006D1482" w:rsidP="006D1482">
      <w:pPr>
        <w:pStyle w:val="ListParagraph"/>
        <w:numPr>
          <w:ilvl w:val="0"/>
          <w:numId w:val="12"/>
        </w:numPr>
        <w:autoSpaceDE w:val="0"/>
        <w:autoSpaceDN w:val="0"/>
        <w:adjustRightInd w:val="0"/>
        <w:spacing w:after="0" w:line="240" w:lineRule="auto"/>
        <w:jc w:val="both"/>
        <w:rPr>
          <w:rFonts w:ascii="Book Antiqua" w:hAnsi="Book Antiqua"/>
          <w:b/>
          <w:sz w:val="24"/>
          <w:szCs w:val="24"/>
          <w:u w:val="single"/>
          <w:lang w:val="en-US"/>
        </w:rPr>
      </w:pPr>
      <w:r w:rsidRPr="009922EE">
        <w:rPr>
          <w:rFonts w:ascii="Book Antiqua" w:hAnsi="Book Antiqua"/>
          <w:b/>
          <w:sz w:val="24"/>
          <w:szCs w:val="24"/>
          <w:lang w:val="en-US"/>
        </w:rPr>
        <w:t>Reiterating</w:t>
      </w:r>
      <w:r w:rsidRPr="009922EE">
        <w:rPr>
          <w:rFonts w:ascii="Book Antiqua" w:hAnsi="Book Antiqua"/>
          <w:sz w:val="24"/>
          <w:szCs w:val="24"/>
          <w:lang w:val="en-US"/>
        </w:rPr>
        <w:t xml:space="preserve"> the commitment to make the SEECP Parliamentary Assembly a leading regional parliamentary organization that will effectively address the challenges of South East Europe and will lead to good neighborly relations in the region; </w:t>
      </w:r>
    </w:p>
    <w:p w:rsidR="006D1482" w:rsidRPr="009922EE" w:rsidRDefault="006D1482" w:rsidP="006D1482">
      <w:pPr>
        <w:pStyle w:val="ListParagraph"/>
        <w:numPr>
          <w:ilvl w:val="0"/>
          <w:numId w:val="12"/>
        </w:numPr>
        <w:autoSpaceDE w:val="0"/>
        <w:autoSpaceDN w:val="0"/>
        <w:adjustRightInd w:val="0"/>
        <w:spacing w:after="0" w:line="240" w:lineRule="auto"/>
        <w:jc w:val="both"/>
        <w:rPr>
          <w:rFonts w:ascii="Book Antiqua" w:hAnsi="Book Antiqua"/>
          <w:b/>
          <w:sz w:val="24"/>
          <w:szCs w:val="24"/>
          <w:u w:val="single"/>
          <w:lang w:val="en-US"/>
        </w:rPr>
      </w:pPr>
      <w:r w:rsidRPr="009922EE">
        <w:rPr>
          <w:rFonts w:ascii="Book Antiqua" w:hAnsi="Book Antiqua"/>
          <w:b/>
          <w:sz w:val="24"/>
          <w:szCs w:val="24"/>
          <w:lang w:val="en-US"/>
        </w:rPr>
        <w:t xml:space="preserve">Aware </w:t>
      </w:r>
      <w:r w:rsidRPr="009922EE">
        <w:rPr>
          <w:rFonts w:ascii="Book Antiqua" w:hAnsi="Book Antiqua"/>
          <w:sz w:val="24"/>
          <w:szCs w:val="24"/>
          <w:lang w:val="en-US"/>
        </w:rPr>
        <w:t xml:space="preserve">that European Commission has recently intensified its efforts on environmental issues, by setting ambitious goals for the environment, such as </w:t>
      </w:r>
      <w:r>
        <w:rPr>
          <w:rFonts w:ascii="Book Antiqua" w:hAnsi="Book Antiqua"/>
          <w:sz w:val="24"/>
          <w:szCs w:val="24"/>
          <w:lang w:val="en-US"/>
        </w:rPr>
        <w:t xml:space="preserve">- </w:t>
      </w:r>
      <w:r w:rsidRPr="009922EE">
        <w:rPr>
          <w:rFonts w:ascii="Book Antiqua" w:hAnsi="Book Antiqua"/>
          <w:sz w:val="24"/>
          <w:szCs w:val="24"/>
          <w:lang w:val="en-US"/>
        </w:rPr>
        <w:t>the European Green Deal, and encouraged by this momentum to push forward similar objectives for our region</w:t>
      </w:r>
      <w:r>
        <w:rPr>
          <w:rFonts w:ascii="Book Antiqua" w:hAnsi="Book Antiqua"/>
          <w:sz w:val="24"/>
          <w:szCs w:val="24"/>
          <w:lang w:val="en-US"/>
        </w:rPr>
        <w:t>;</w:t>
      </w:r>
    </w:p>
    <w:p w:rsidR="006D1482" w:rsidRPr="006D1482" w:rsidRDefault="006D1482" w:rsidP="006D1482">
      <w:pPr>
        <w:pStyle w:val="ListParagraph"/>
        <w:numPr>
          <w:ilvl w:val="0"/>
          <w:numId w:val="12"/>
        </w:numPr>
        <w:autoSpaceDE w:val="0"/>
        <w:autoSpaceDN w:val="0"/>
        <w:adjustRightInd w:val="0"/>
        <w:spacing w:after="0" w:line="240" w:lineRule="auto"/>
        <w:jc w:val="both"/>
        <w:rPr>
          <w:rFonts w:ascii="Book Antiqua" w:hAnsi="Book Antiqua"/>
          <w:b/>
          <w:sz w:val="24"/>
          <w:szCs w:val="24"/>
          <w:u w:val="single"/>
          <w:lang w:val="en-US"/>
        </w:rPr>
      </w:pPr>
      <w:r w:rsidRPr="009922EE">
        <w:rPr>
          <w:rFonts w:ascii="Book Antiqua" w:hAnsi="Book Antiqua"/>
          <w:b/>
          <w:sz w:val="24"/>
          <w:szCs w:val="24"/>
          <w:lang w:val="en-US"/>
        </w:rPr>
        <w:t>Mindful</w:t>
      </w:r>
      <w:r w:rsidRPr="009922EE">
        <w:rPr>
          <w:rFonts w:ascii="Book Antiqua" w:hAnsi="Book Antiqua"/>
          <w:sz w:val="24"/>
          <w:szCs w:val="24"/>
          <w:lang w:val="en-US"/>
        </w:rPr>
        <w:t xml:space="preserve"> of the global health and social risks that COVID-19 pandemic poses and concerned about the looming economic fallout;</w:t>
      </w:r>
    </w:p>
    <w:p w:rsidR="006D1482" w:rsidRPr="009922EE" w:rsidRDefault="006D1482" w:rsidP="006D1482">
      <w:pPr>
        <w:pStyle w:val="ListParagraph"/>
        <w:numPr>
          <w:ilvl w:val="0"/>
          <w:numId w:val="12"/>
        </w:numPr>
        <w:autoSpaceDE w:val="0"/>
        <w:autoSpaceDN w:val="0"/>
        <w:adjustRightInd w:val="0"/>
        <w:spacing w:after="0" w:line="240" w:lineRule="auto"/>
        <w:jc w:val="both"/>
        <w:rPr>
          <w:rFonts w:ascii="Book Antiqua" w:hAnsi="Book Antiqua"/>
          <w:b/>
          <w:sz w:val="24"/>
          <w:szCs w:val="24"/>
          <w:u w:val="single"/>
          <w:lang w:val="en-US"/>
        </w:rPr>
      </w:pPr>
      <w:r w:rsidRPr="009922EE">
        <w:rPr>
          <w:rFonts w:ascii="Book Antiqua" w:hAnsi="Book Antiqua"/>
          <w:b/>
          <w:sz w:val="24"/>
          <w:szCs w:val="24"/>
          <w:lang w:val="en-US"/>
        </w:rPr>
        <w:t>In solidarity</w:t>
      </w:r>
      <w:r w:rsidRPr="009922EE">
        <w:rPr>
          <w:rFonts w:ascii="Book Antiqua" w:hAnsi="Book Antiqua"/>
          <w:sz w:val="24"/>
          <w:szCs w:val="24"/>
          <w:lang w:val="en-US"/>
        </w:rPr>
        <w:t xml:space="preserve"> with the families of victims of COVID-19 pandemic and with the people all over the world who have been affected in one way or another by these unprecedented times; </w:t>
      </w:r>
    </w:p>
    <w:p w:rsidR="006D1482" w:rsidRPr="009922EE" w:rsidRDefault="006D1482" w:rsidP="006D1482">
      <w:pPr>
        <w:pStyle w:val="ListParagraph"/>
        <w:numPr>
          <w:ilvl w:val="0"/>
          <w:numId w:val="12"/>
        </w:numPr>
        <w:autoSpaceDE w:val="0"/>
        <w:autoSpaceDN w:val="0"/>
        <w:adjustRightInd w:val="0"/>
        <w:spacing w:after="0" w:line="240" w:lineRule="auto"/>
        <w:jc w:val="both"/>
        <w:rPr>
          <w:rFonts w:ascii="Book Antiqua" w:hAnsi="Book Antiqua"/>
          <w:b/>
          <w:sz w:val="24"/>
          <w:szCs w:val="24"/>
          <w:u w:val="single"/>
          <w:lang w:val="en-US"/>
        </w:rPr>
      </w:pPr>
      <w:r w:rsidRPr="009922EE">
        <w:rPr>
          <w:rFonts w:ascii="Book Antiqua" w:hAnsi="Book Antiqua"/>
          <w:b/>
          <w:sz w:val="24"/>
          <w:szCs w:val="24"/>
          <w:lang w:val="en-US"/>
        </w:rPr>
        <w:lastRenderedPageBreak/>
        <w:t>Recognizing</w:t>
      </w:r>
      <w:r w:rsidRPr="009922EE">
        <w:rPr>
          <w:rFonts w:ascii="Book Antiqua" w:hAnsi="Book Antiqua"/>
          <w:sz w:val="24"/>
          <w:szCs w:val="24"/>
          <w:lang w:val="en-US"/>
        </w:rPr>
        <w:t xml:space="preserve"> the imperative need for a multinational effort to address this pandemic and acknowledging the positive role that regional cooperation can play in easing its impact;</w:t>
      </w:r>
    </w:p>
    <w:p w:rsidR="006D1482" w:rsidRDefault="006D1482" w:rsidP="006D1482">
      <w:pPr>
        <w:pStyle w:val="ListParagraph"/>
        <w:autoSpaceDE w:val="0"/>
        <w:autoSpaceDN w:val="0"/>
        <w:adjustRightInd w:val="0"/>
        <w:spacing w:after="0" w:line="240" w:lineRule="auto"/>
        <w:jc w:val="both"/>
        <w:rPr>
          <w:rFonts w:ascii="Book Antiqua" w:hAnsi="Book Antiqua"/>
          <w:b/>
          <w:sz w:val="24"/>
          <w:szCs w:val="24"/>
          <w:u w:val="single"/>
          <w:lang w:val="en-US"/>
        </w:rPr>
      </w:pPr>
    </w:p>
    <w:p w:rsidR="006D1482" w:rsidRDefault="006D1482" w:rsidP="006D1482">
      <w:pPr>
        <w:pStyle w:val="ListParagraph"/>
        <w:autoSpaceDE w:val="0"/>
        <w:autoSpaceDN w:val="0"/>
        <w:adjustRightInd w:val="0"/>
        <w:spacing w:after="0" w:line="240" w:lineRule="auto"/>
        <w:jc w:val="both"/>
        <w:rPr>
          <w:rFonts w:ascii="Book Antiqua" w:hAnsi="Book Antiqua"/>
          <w:b/>
          <w:sz w:val="24"/>
          <w:szCs w:val="24"/>
          <w:u w:val="single"/>
          <w:lang w:val="en-US"/>
        </w:rPr>
      </w:pPr>
    </w:p>
    <w:p w:rsidR="006D1482" w:rsidRPr="001064C5" w:rsidRDefault="006D1482" w:rsidP="006D1482">
      <w:pPr>
        <w:rPr>
          <w:rFonts w:cs="Arial"/>
          <w:sz w:val="24"/>
          <w:lang w:val="en-GB"/>
        </w:rPr>
      </w:pPr>
      <w:r w:rsidRPr="001064C5">
        <w:rPr>
          <w:rFonts w:cs="Arial"/>
          <w:sz w:val="24"/>
          <w:lang w:val="en-GB"/>
        </w:rPr>
        <w:t>HAVE AGREED TO:</w:t>
      </w:r>
    </w:p>
    <w:p w:rsidR="006D1482"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Reaffirm</w:t>
      </w:r>
      <w:r w:rsidRPr="009922EE">
        <w:rPr>
          <w:rFonts w:ascii="Book Antiqua" w:hAnsi="Book Antiqua"/>
          <w:sz w:val="24"/>
          <w:szCs w:val="24"/>
          <w:lang w:val="en-US"/>
        </w:rPr>
        <w:t xml:space="preserve"> the important role of the SEECP and the SEECP Parliamentary Assembly in strengthening stability and prosperity in South-East Europe;</w:t>
      </w:r>
    </w:p>
    <w:p w:rsidR="006D1482" w:rsidRPr="009922EE"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Highlight</w:t>
      </w:r>
      <w:r w:rsidRPr="009922EE">
        <w:rPr>
          <w:rFonts w:ascii="Book Antiqua" w:hAnsi="Book Antiqua"/>
          <w:sz w:val="24"/>
          <w:szCs w:val="24"/>
          <w:lang w:val="en-US"/>
        </w:rPr>
        <w:t xml:space="preserve"> that the prospect of accession to the European Union remains a strong motive for reform and stability in the region;</w:t>
      </w:r>
    </w:p>
    <w:p w:rsidR="006D1482" w:rsidRPr="009922EE"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 xml:space="preserve">Reconfirm </w:t>
      </w:r>
      <w:r w:rsidRPr="009922EE">
        <w:rPr>
          <w:rFonts w:ascii="Book Antiqua" w:hAnsi="Book Antiqua"/>
          <w:sz w:val="24"/>
          <w:szCs w:val="24"/>
          <w:lang w:val="en-US"/>
        </w:rPr>
        <w:t xml:space="preserve">that SEECP is one the main driving engines behind regional cooperation in South-East Europe and commit to increase their reliance on this essential mechanism for the region;  </w:t>
      </w:r>
    </w:p>
    <w:p w:rsidR="006D1482"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Pr>
          <w:rFonts w:ascii="Book Antiqua" w:hAnsi="Book Antiqua"/>
          <w:b/>
          <w:sz w:val="24"/>
          <w:szCs w:val="24"/>
          <w:lang w:val="en-US"/>
        </w:rPr>
        <w:t>Expe</w:t>
      </w:r>
      <w:r w:rsidRPr="00893059">
        <w:rPr>
          <w:rFonts w:ascii="Book Antiqua" w:hAnsi="Book Antiqua"/>
          <w:b/>
          <w:color w:val="000000" w:themeColor="text1"/>
          <w:sz w:val="24"/>
          <w:szCs w:val="24"/>
          <w:lang w:val="en-US"/>
        </w:rPr>
        <w:t>c</w:t>
      </w:r>
      <w:r w:rsidRPr="001E41AC">
        <w:rPr>
          <w:rFonts w:ascii="Book Antiqua" w:hAnsi="Book Antiqua"/>
          <w:b/>
          <w:sz w:val="24"/>
          <w:szCs w:val="24"/>
          <w:lang w:val="en-US"/>
        </w:rPr>
        <w:t>t</w:t>
      </w:r>
      <w:r>
        <w:rPr>
          <w:rFonts w:ascii="Book Antiqua" w:hAnsi="Book Antiqua"/>
          <w:b/>
          <w:sz w:val="24"/>
          <w:szCs w:val="24"/>
          <w:lang w:val="en-US"/>
        </w:rPr>
        <w:t xml:space="preserve">ing </w:t>
      </w:r>
      <w:r>
        <w:rPr>
          <w:rFonts w:ascii="Book Antiqua" w:hAnsi="Book Antiqua"/>
          <w:sz w:val="24"/>
          <w:szCs w:val="24"/>
          <w:lang w:val="en-US"/>
        </w:rPr>
        <w:t>more certain</w:t>
      </w:r>
      <w:r w:rsidRPr="009922EE">
        <w:rPr>
          <w:rFonts w:ascii="Book Antiqua" w:hAnsi="Book Antiqua"/>
          <w:sz w:val="24"/>
          <w:szCs w:val="24"/>
          <w:lang w:val="en-US"/>
        </w:rPr>
        <w:t xml:space="preserve"> dynamics of the European Union enlargement process,</w:t>
      </w:r>
      <w:r>
        <w:rPr>
          <w:rFonts w:ascii="Book Antiqua" w:hAnsi="Book Antiqua"/>
          <w:sz w:val="24"/>
          <w:szCs w:val="24"/>
          <w:lang w:val="en-US"/>
        </w:rPr>
        <w:t xml:space="preserve"> which should guide </w:t>
      </w:r>
      <w:r w:rsidRPr="009922EE">
        <w:rPr>
          <w:rFonts w:ascii="Book Antiqua" w:hAnsi="Book Antiqua"/>
          <w:sz w:val="24"/>
          <w:szCs w:val="24"/>
          <w:lang w:val="en-US"/>
        </w:rPr>
        <w:t>the aspiring</w:t>
      </w:r>
      <w:r>
        <w:rPr>
          <w:rFonts w:ascii="Book Antiqua" w:hAnsi="Book Antiqua"/>
          <w:sz w:val="24"/>
          <w:szCs w:val="24"/>
          <w:lang w:val="en-US"/>
        </w:rPr>
        <w:t xml:space="preserve"> participants</w:t>
      </w:r>
      <w:r w:rsidRPr="00341444">
        <w:t xml:space="preserve"> </w:t>
      </w:r>
      <w:r w:rsidRPr="00341444">
        <w:rPr>
          <w:rFonts w:ascii="Book Antiqua" w:hAnsi="Book Antiqua"/>
          <w:sz w:val="24"/>
          <w:szCs w:val="24"/>
          <w:lang w:val="en-US"/>
        </w:rPr>
        <w:t>to continue implementing the necessary reforms</w:t>
      </w:r>
      <w:r w:rsidRPr="009922EE">
        <w:rPr>
          <w:rFonts w:ascii="Book Antiqua" w:hAnsi="Book Antiqua"/>
          <w:sz w:val="24"/>
          <w:szCs w:val="24"/>
          <w:lang w:val="en-US"/>
        </w:rPr>
        <w:t>;</w:t>
      </w:r>
    </w:p>
    <w:p w:rsidR="006D1482" w:rsidRPr="006D1482"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893059">
        <w:rPr>
          <w:rFonts w:ascii="Book Antiqua" w:hAnsi="Book Antiqua" w:cs="Book Antiqua"/>
          <w:b/>
          <w:bCs/>
          <w:sz w:val="24"/>
          <w:szCs w:val="24"/>
          <w:lang w:val="en-US"/>
        </w:rPr>
        <w:t xml:space="preserve">Call for </w:t>
      </w:r>
      <w:r w:rsidRPr="00031291">
        <w:rPr>
          <w:rFonts w:ascii="Book Antiqua" w:hAnsi="Book Antiqua" w:cs="Book Antiqua"/>
          <w:sz w:val="24"/>
          <w:szCs w:val="24"/>
          <w:lang w:val="en-US"/>
        </w:rPr>
        <w:t>the</w:t>
      </w:r>
      <w:r>
        <w:rPr>
          <w:rFonts w:ascii="Book Antiqua" w:hAnsi="Book Antiqua" w:cs="Book Antiqua"/>
          <w:sz w:val="24"/>
          <w:szCs w:val="24"/>
          <w:lang w:val="en-US"/>
        </w:rPr>
        <w:t xml:space="preserve"> EU </w:t>
      </w:r>
      <w:r w:rsidRPr="00031291">
        <w:rPr>
          <w:rFonts w:ascii="Book Antiqua" w:hAnsi="Book Antiqua" w:cs="Book Antiqua"/>
          <w:sz w:val="24"/>
          <w:szCs w:val="24"/>
          <w:lang w:val="en-US"/>
        </w:rPr>
        <w:t xml:space="preserve">to keep the enlargement process alive and steady in order to maintain its credibility and to ensure that </w:t>
      </w:r>
      <w:r w:rsidRPr="00893059">
        <w:rPr>
          <w:rFonts w:ascii="Book Antiqua" w:hAnsi="Book Antiqua" w:cs="Book Antiqua"/>
          <w:color w:val="000000" w:themeColor="text1"/>
          <w:sz w:val="24"/>
          <w:szCs w:val="24"/>
          <w:lang w:val="en-US"/>
        </w:rPr>
        <w:t>participants</w:t>
      </w:r>
      <w:r>
        <w:rPr>
          <w:rFonts w:ascii="Book Antiqua" w:hAnsi="Book Antiqua" w:cs="Book Antiqua"/>
          <w:b/>
          <w:color w:val="7030A0"/>
          <w:sz w:val="24"/>
          <w:szCs w:val="24"/>
          <w:lang w:val="en-US"/>
        </w:rPr>
        <w:t xml:space="preserve"> </w:t>
      </w:r>
      <w:r w:rsidRPr="00031291">
        <w:rPr>
          <w:rFonts w:ascii="Book Antiqua" w:hAnsi="Book Antiqua" w:cs="Book Antiqua"/>
          <w:sz w:val="24"/>
          <w:szCs w:val="24"/>
          <w:lang w:val="en-US"/>
        </w:rPr>
        <w:t>don’t explore other alternatives that are opposed to the European founding values;</w:t>
      </w:r>
    </w:p>
    <w:p w:rsidR="006D1482" w:rsidRPr="006D1482"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Emphasize</w:t>
      </w:r>
      <w:r w:rsidRPr="009922EE">
        <w:rPr>
          <w:rFonts w:ascii="Book Antiqua" w:hAnsi="Book Antiqua"/>
          <w:sz w:val="24"/>
          <w:szCs w:val="24"/>
          <w:lang w:val="en-US"/>
        </w:rPr>
        <w:t xml:space="preserve"> that the SEECP Parliamentary Assembly can play a significant role in facilitating the SEECP </w:t>
      </w:r>
      <w:r>
        <w:rPr>
          <w:rFonts w:ascii="Book Antiqua" w:hAnsi="Book Antiqua"/>
          <w:sz w:val="24"/>
          <w:szCs w:val="24"/>
          <w:lang w:val="en-US"/>
        </w:rPr>
        <w:t>participants</w:t>
      </w:r>
      <w:r w:rsidRPr="009922EE">
        <w:rPr>
          <w:rFonts w:ascii="Book Antiqua" w:hAnsi="Book Antiqua"/>
          <w:sz w:val="24"/>
          <w:szCs w:val="24"/>
          <w:lang w:val="en-US"/>
        </w:rPr>
        <w:t xml:space="preserve"> in their objective to </w:t>
      </w:r>
      <w:r>
        <w:rPr>
          <w:rFonts w:ascii="Book Antiqua" w:hAnsi="Book Antiqua"/>
          <w:sz w:val="24"/>
          <w:szCs w:val="24"/>
          <w:lang w:val="en-US"/>
        </w:rPr>
        <w:t>harmonize</w:t>
      </w:r>
      <w:r w:rsidRPr="009922EE">
        <w:rPr>
          <w:rFonts w:ascii="Book Antiqua" w:hAnsi="Book Antiqua"/>
          <w:sz w:val="24"/>
          <w:szCs w:val="24"/>
          <w:lang w:val="en-US"/>
        </w:rPr>
        <w:t xml:space="preserve"> their legislative framework with the European Union </w:t>
      </w:r>
      <w:r w:rsidRPr="009922EE">
        <w:rPr>
          <w:rFonts w:ascii="Book Antiqua" w:hAnsi="Book Antiqua"/>
          <w:i/>
          <w:sz w:val="24"/>
          <w:szCs w:val="24"/>
          <w:lang w:val="en-US"/>
        </w:rPr>
        <w:t>acquis</w:t>
      </w:r>
      <w:r w:rsidRPr="004A66D3">
        <w:rPr>
          <w:rFonts w:ascii="Book Antiqua" w:hAnsi="Book Antiqua"/>
          <w:sz w:val="24"/>
          <w:szCs w:val="24"/>
          <w:lang w:val="en-US"/>
        </w:rPr>
        <w:t xml:space="preserve"> </w:t>
      </w:r>
      <w:r w:rsidRPr="00893059">
        <w:rPr>
          <w:rFonts w:ascii="Book Antiqua" w:hAnsi="Book Antiqua"/>
          <w:color w:val="000000"/>
          <w:sz w:val="24"/>
          <w:szCs w:val="24"/>
          <w:lang w:val="en-US"/>
        </w:rPr>
        <w:t>through exchange of experiences and best practices</w:t>
      </w:r>
      <w:r>
        <w:rPr>
          <w:rFonts w:ascii="Book Antiqua" w:hAnsi="Book Antiqua"/>
          <w:color w:val="000000"/>
          <w:sz w:val="24"/>
          <w:szCs w:val="24"/>
          <w:lang w:val="en-US"/>
        </w:rPr>
        <w:t>;</w:t>
      </w:r>
    </w:p>
    <w:p w:rsidR="006D1482"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Commit</w:t>
      </w:r>
      <w:r w:rsidRPr="009922EE">
        <w:rPr>
          <w:rFonts w:ascii="Book Antiqua" w:hAnsi="Book Antiqua"/>
          <w:sz w:val="24"/>
          <w:szCs w:val="24"/>
          <w:lang w:val="en-US"/>
        </w:rPr>
        <w:t xml:space="preserve"> </w:t>
      </w:r>
      <w:r w:rsidRPr="00893059">
        <w:rPr>
          <w:rFonts w:ascii="Book Antiqua" w:hAnsi="Book Antiqua"/>
          <w:color w:val="000000"/>
          <w:sz w:val="24"/>
          <w:szCs w:val="24"/>
          <w:lang w:val="en-US"/>
        </w:rPr>
        <w:t>to put special emphasis</w:t>
      </w:r>
      <w:r>
        <w:rPr>
          <w:rFonts w:ascii="Book Antiqua" w:hAnsi="Book Antiqua"/>
          <w:sz w:val="24"/>
          <w:szCs w:val="24"/>
          <w:lang w:val="en-US"/>
        </w:rPr>
        <w:t xml:space="preserve"> on </w:t>
      </w:r>
      <w:r w:rsidRPr="009922EE">
        <w:rPr>
          <w:rFonts w:ascii="Book Antiqua" w:hAnsi="Book Antiqua"/>
          <w:sz w:val="24"/>
          <w:szCs w:val="24"/>
          <w:lang w:val="en-US"/>
        </w:rPr>
        <w:t>youth issues – by promoting educational opportunities, strengthening job prospects, developing student exchange programs, etc. – as youth development is a crucial factor in creating democratic, sustainable relations in the region;</w:t>
      </w:r>
    </w:p>
    <w:p w:rsidR="006D1482" w:rsidRPr="009922EE"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Continue</w:t>
      </w:r>
      <w:r w:rsidRPr="009922EE">
        <w:rPr>
          <w:rFonts w:ascii="Book Antiqua" w:hAnsi="Book Antiqua"/>
          <w:sz w:val="24"/>
          <w:szCs w:val="24"/>
          <w:lang w:val="en-US"/>
        </w:rPr>
        <w:t xml:space="preserve"> to promote good neighborly relations in, and cooperation</w:t>
      </w:r>
      <w:r>
        <w:rPr>
          <w:rFonts w:ascii="Book Antiqua" w:hAnsi="Book Antiqua"/>
          <w:sz w:val="24"/>
          <w:szCs w:val="24"/>
          <w:lang w:val="en-US"/>
        </w:rPr>
        <w:t xml:space="preserve"> among the SEECP PA Participants</w:t>
      </w:r>
      <w:r w:rsidRPr="009922EE">
        <w:rPr>
          <w:rFonts w:ascii="Book Antiqua" w:hAnsi="Book Antiqua"/>
          <w:sz w:val="24"/>
          <w:szCs w:val="24"/>
          <w:lang w:val="en-US"/>
        </w:rPr>
        <w:t xml:space="preserve"> </w:t>
      </w:r>
      <w:r w:rsidRPr="00893059">
        <w:rPr>
          <w:rFonts w:ascii="Book Antiqua" w:hAnsi="Book Antiqua"/>
          <w:color w:val="000000"/>
          <w:sz w:val="24"/>
          <w:szCs w:val="24"/>
          <w:lang w:val="en-US"/>
        </w:rPr>
        <w:t>with mutual respect and appreciation</w:t>
      </w:r>
      <w:r>
        <w:rPr>
          <w:rFonts w:ascii="Book Antiqua" w:hAnsi="Book Antiqua"/>
          <w:sz w:val="24"/>
          <w:szCs w:val="24"/>
          <w:lang w:val="en-US"/>
        </w:rPr>
        <w:t>,</w:t>
      </w:r>
      <w:r w:rsidRPr="009922EE">
        <w:rPr>
          <w:rFonts w:ascii="Book Antiqua" w:hAnsi="Book Antiqua"/>
          <w:sz w:val="24"/>
          <w:szCs w:val="24"/>
          <w:lang w:val="en-US"/>
        </w:rPr>
        <w:t xml:space="preserve"> in function of making the region more democratic, resilient and economically prosperous; </w:t>
      </w:r>
    </w:p>
    <w:p w:rsidR="006D1482" w:rsidRPr="009922EE"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Commit</w:t>
      </w:r>
      <w:r w:rsidRPr="009922EE">
        <w:rPr>
          <w:rFonts w:ascii="Book Antiqua" w:hAnsi="Book Antiqua"/>
          <w:sz w:val="24"/>
          <w:szCs w:val="24"/>
          <w:lang w:val="en-US"/>
        </w:rPr>
        <w:t xml:space="preserve"> to foster a more proactive cooperation with the European Parliament and other inter-parliamentary organizations</w:t>
      </w:r>
      <w:r>
        <w:rPr>
          <w:rFonts w:ascii="Book Antiqua" w:hAnsi="Book Antiqua"/>
          <w:sz w:val="24"/>
          <w:szCs w:val="24"/>
          <w:lang w:val="en-US"/>
        </w:rPr>
        <w:t xml:space="preserve"> </w:t>
      </w:r>
      <w:r w:rsidRPr="00893059">
        <w:rPr>
          <w:rFonts w:ascii="Book Antiqua" w:hAnsi="Book Antiqua"/>
          <w:color w:val="000000"/>
          <w:sz w:val="24"/>
          <w:szCs w:val="24"/>
          <w:lang w:val="en-US"/>
        </w:rPr>
        <w:t xml:space="preserve">with the aim of strengthening parliamentary democracy and parliamentary culture through open, inclusive and benevolent dialogue </w:t>
      </w:r>
      <w:r w:rsidRPr="009922EE">
        <w:rPr>
          <w:rFonts w:ascii="Book Antiqua" w:hAnsi="Book Antiqua"/>
          <w:sz w:val="24"/>
          <w:szCs w:val="24"/>
          <w:lang w:val="en-US"/>
        </w:rPr>
        <w:t>in order to strengthen the role and effectiveness of the SEECP PA;</w:t>
      </w:r>
    </w:p>
    <w:p w:rsidR="006D1482"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Enhance</w:t>
      </w:r>
      <w:r w:rsidRPr="009922EE">
        <w:rPr>
          <w:rFonts w:ascii="Book Antiqua" w:hAnsi="Book Antiqua"/>
          <w:sz w:val="24"/>
          <w:szCs w:val="24"/>
          <w:lang w:val="en-US"/>
        </w:rPr>
        <w:t xml:space="preserve"> communication </w:t>
      </w:r>
      <w:r>
        <w:rPr>
          <w:rFonts w:ascii="Book Antiqua" w:hAnsi="Book Antiqua"/>
          <w:sz w:val="24"/>
          <w:szCs w:val="24"/>
          <w:lang w:val="en-US"/>
        </w:rPr>
        <w:t xml:space="preserve">among  </w:t>
      </w:r>
      <w:r w:rsidRPr="009922EE">
        <w:rPr>
          <w:rFonts w:ascii="Book Antiqua" w:hAnsi="Book Antiqua"/>
          <w:sz w:val="24"/>
          <w:szCs w:val="24"/>
          <w:lang w:val="en-US"/>
        </w:rPr>
        <w:t xml:space="preserve">the parliaments of SEECP PA </w:t>
      </w:r>
      <w:r>
        <w:rPr>
          <w:rFonts w:ascii="Book Antiqua" w:hAnsi="Book Antiqua"/>
          <w:sz w:val="24"/>
          <w:szCs w:val="24"/>
          <w:lang w:val="en-US"/>
        </w:rPr>
        <w:t xml:space="preserve">Participants </w:t>
      </w:r>
      <w:r w:rsidRPr="009922EE">
        <w:rPr>
          <w:rFonts w:ascii="Book Antiqua" w:hAnsi="Book Antiqua"/>
          <w:sz w:val="24"/>
          <w:szCs w:val="24"/>
          <w:lang w:val="en-US"/>
        </w:rPr>
        <w:t>in order to bring about mutual progress;</w:t>
      </w:r>
    </w:p>
    <w:p w:rsidR="006D1482" w:rsidRPr="009922EE"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 xml:space="preserve">Commit </w:t>
      </w:r>
      <w:r w:rsidRPr="009922EE">
        <w:rPr>
          <w:rFonts w:ascii="Book Antiqua" w:hAnsi="Book Antiqua"/>
          <w:sz w:val="24"/>
          <w:szCs w:val="24"/>
          <w:lang w:val="en-US"/>
        </w:rPr>
        <w:t>to bring environmental issues front and center in order to ensure that our developmental goals are aligned with our aim to have safe and sustainable communities for generations to come</w:t>
      </w:r>
      <w:r>
        <w:rPr>
          <w:rFonts w:ascii="Book Antiqua" w:hAnsi="Book Antiqua"/>
          <w:sz w:val="24"/>
          <w:szCs w:val="24"/>
          <w:lang w:val="en-US"/>
        </w:rPr>
        <w:t>;</w:t>
      </w:r>
      <w:r w:rsidRPr="009922EE">
        <w:rPr>
          <w:rFonts w:ascii="Book Antiqua" w:hAnsi="Book Antiqua"/>
          <w:sz w:val="24"/>
          <w:szCs w:val="24"/>
          <w:lang w:val="en-US"/>
        </w:rPr>
        <w:t xml:space="preserve"> </w:t>
      </w:r>
    </w:p>
    <w:p w:rsidR="006D1482" w:rsidRPr="009922EE" w:rsidRDefault="006D1482" w:rsidP="006D1482">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9922EE">
        <w:rPr>
          <w:rFonts w:ascii="Book Antiqua" w:hAnsi="Book Antiqua"/>
          <w:b/>
          <w:sz w:val="24"/>
          <w:szCs w:val="24"/>
          <w:lang w:val="en-US"/>
        </w:rPr>
        <w:t>Highlight</w:t>
      </w:r>
      <w:r w:rsidRPr="009922EE">
        <w:rPr>
          <w:rFonts w:ascii="Book Antiqua" w:hAnsi="Book Antiqua"/>
          <w:sz w:val="24"/>
          <w:szCs w:val="24"/>
          <w:lang w:val="en-US"/>
        </w:rPr>
        <w:t xml:space="preserve"> the need for a coordinated, bold response to safeguard against the health and social risks of COVID-19 pandemic and again</w:t>
      </w:r>
      <w:r>
        <w:rPr>
          <w:rFonts w:ascii="Book Antiqua" w:hAnsi="Book Antiqua"/>
          <w:sz w:val="24"/>
          <w:szCs w:val="24"/>
          <w:lang w:val="en-US"/>
        </w:rPr>
        <w:t>st the looming economic fallout;</w:t>
      </w:r>
    </w:p>
    <w:p w:rsidR="002B38AC" w:rsidRPr="002B38AC" w:rsidRDefault="006D1482" w:rsidP="002B38AC">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r w:rsidRPr="00893059">
        <w:rPr>
          <w:rFonts w:ascii="Book Antiqua" w:hAnsi="Book Antiqua"/>
          <w:b/>
          <w:color w:val="000000" w:themeColor="text1"/>
          <w:sz w:val="24"/>
          <w:szCs w:val="24"/>
          <w:lang w:val="en-US"/>
        </w:rPr>
        <w:t xml:space="preserve">Call on </w:t>
      </w:r>
      <w:r w:rsidRPr="00893059">
        <w:rPr>
          <w:rFonts w:ascii="Book Antiqua" w:hAnsi="Book Antiqua"/>
          <w:color w:val="000000" w:themeColor="text1"/>
          <w:sz w:val="24"/>
          <w:szCs w:val="24"/>
          <w:lang w:val="en-US"/>
        </w:rPr>
        <w:t>the SEECP participants to share their experience on fighting the Covid-19 pandemic, in order to be ready for future outbreaks;</w:t>
      </w:r>
    </w:p>
    <w:p w:rsidR="006D1482" w:rsidRPr="002B38AC" w:rsidRDefault="006D1482" w:rsidP="002B38AC">
      <w:pPr>
        <w:pStyle w:val="ListParagraph"/>
        <w:numPr>
          <w:ilvl w:val="0"/>
          <w:numId w:val="13"/>
        </w:numPr>
        <w:autoSpaceDE w:val="0"/>
        <w:autoSpaceDN w:val="0"/>
        <w:adjustRightInd w:val="0"/>
        <w:spacing w:after="0" w:line="240" w:lineRule="auto"/>
        <w:jc w:val="both"/>
        <w:rPr>
          <w:rFonts w:ascii="Book Antiqua" w:hAnsi="Book Antiqua"/>
          <w:sz w:val="24"/>
          <w:szCs w:val="24"/>
          <w:lang w:val="en-US"/>
        </w:rPr>
      </w:pPr>
      <w:bookmarkStart w:id="0" w:name="_GoBack"/>
      <w:bookmarkEnd w:id="0"/>
      <w:r w:rsidRPr="002B38AC">
        <w:rPr>
          <w:rFonts w:ascii="Book Antiqua" w:hAnsi="Book Antiqua"/>
          <w:b/>
          <w:color w:val="000000" w:themeColor="text1"/>
          <w:sz w:val="24"/>
          <w:szCs w:val="24"/>
          <w:lang w:val="en-US"/>
        </w:rPr>
        <w:t xml:space="preserve">Emphasize </w:t>
      </w:r>
      <w:r w:rsidRPr="002B38AC">
        <w:rPr>
          <w:rFonts w:ascii="Book Antiqua" w:hAnsi="Book Antiqua"/>
          <w:color w:val="000000" w:themeColor="text1"/>
          <w:sz w:val="24"/>
          <w:szCs w:val="24"/>
          <w:lang w:val="en-US"/>
        </w:rPr>
        <w:t>the need to build capacity for regional cooperation against natural disasters and cries</w:t>
      </w:r>
      <w:r w:rsidRPr="002B38AC">
        <w:rPr>
          <w:rFonts w:ascii="Book Antiqua" w:hAnsi="Book Antiqua"/>
          <w:b/>
          <w:color w:val="000000" w:themeColor="text1"/>
          <w:sz w:val="24"/>
          <w:szCs w:val="24"/>
          <w:lang w:val="en-US"/>
        </w:rPr>
        <w:t>.</w:t>
      </w:r>
    </w:p>
    <w:sectPr w:rsidR="006D1482" w:rsidRPr="002B38AC" w:rsidSect="001353ED">
      <w:headerReference w:type="default" r:id="rId8"/>
      <w:pgSz w:w="11906" w:h="16838" w:code="9"/>
      <w:pgMar w:top="432" w:right="576" w:bottom="1411"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9BD" w:rsidRDefault="006009BD" w:rsidP="00312B29">
      <w:pPr>
        <w:spacing w:line="240" w:lineRule="auto"/>
      </w:pPr>
      <w:r>
        <w:separator/>
      </w:r>
    </w:p>
  </w:endnote>
  <w:endnote w:type="continuationSeparator" w:id="0">
    <w:p w:rsidR="006009BD" w:rsidRDefault="006009BD" w:rsidP="00312B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9BD" w:rsidRDefault="006009BD" w:rsidP="00312B29">
      <w:pPr>
        <w:spacing w:line="240" w:lineRule="auto"/>
      </w:pPr>
      <w:r>
        <w:separator/>
      </w:r>
    </w:p>
  </w:footnote>
  <w:footnote w:type="continuationSeparator" w:id="0">
    <w:p w:rsidR="006009BD" w:rsidRDefault="006009BD" w:rsidP="00312B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7C" w:rsidRDefault="00681EE2" w:rsidP="00AA342E">
    <w:pPr>
      <w:pStyle w:val="Header"/>
    </w:pPr>
    <w:r>
      <w:rPr>
        <w:noProof/>
        <w:lang w:val="en-US"/>
      </w:rPr>
      <w:drawing>
        <wp:inline distT="0" distB="0" distL="0" distR="0" wp14:anchorId="1FCDF4FD" wp14:editId="595FB420">
          <wp:extent cx="987425" cy="1019175"/>
          <wp:effectExtent l="0" t="0" r="317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1019175"/>
                  </a:xfrm>
                  <a:prstGeom prst="rect">
                    <a:avLst/>
                  </a:prstGeom>
                  <a:noFill/>
                </pic:spPr>
              </pic:pic>
            </a:graphicData>
          </a:graphic>
        </wp:inline>
      </w:drawing>
    </w:r>
    <w:r>
      <w:rPr>
        <w:noProof/>
        <w:lang w:val="en-US"/>
      </w:rPr>
      <w:t xml:space="preserve">                     </w:t>
    </w:r>
    <w:r w:rsidR="00AA342E">
      <w:rPr>
        <w:noProof/>
        <w:lang w:val="en-US"/>
      </w:rPr>
      <w:t xml:space="preserve">                                    </w:t>
    </w:r>
    <w:r>
      <w:rPr>
        <w:noProof/>
        <w:lang w:val="en-US"/>
      </w:rPr>
      <w:t xml:space="preserve">      </w:t>
    </w:r>
    <w:r>
      <w:rPr>
        <w:noProof/>
        <w:lang w:val="en-US"/>
      </w:rPr>
      <w:drawing>
        <wp:inline distT="0" distB="0" distL="0" distR="0" wp14:anchorId="09904529" wp14:editId="196E420D">
          <wp:extent cx="798326" cy="88582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9747" cy="887402"/>
                  </a:xfrm>
                  <a:prstGeom prst="rect">
                    <a:avLst/>
                  </a:prstGeom>
                  <a:noFill/>
                </pic:spPr>
              </pic:pic>
            </a:graphicData>
          </a:graphic>
        </wp:inline>
      </w:drawing>
    </w:r>
    <w:r>
      <w:rPr>
        <w:noProof/>
        <w:lang w:val="en-US"/>
      </w:rPr>
      <w:t xml:space="preserve">               </w:t>
    </w:r>
    <w:r w:rsidR="00AA342E">
      <w:rPr>
        <w:noProof/>
        <w:lang w:val="en-US"/>
      </w:rPr>
      <w:t xml:space="preserve">  </w:t>
    </w:r>
    <w:r>
      <w:rPr>
        <w:noProof/>
        <w:lang w:val="en-US"/>
      </w:rPr>
      <w:t xml:space="preserve">   </w:t>
    </w:r>
    <w:r w:rsidR="00AA342E">
      <w:rPr>
        <w:noProof/>
        <w:lang w:val="en-US"/>
      </w:rPr>
      <w:t xml:space="preserve">    </w:t>
    </w:r>
    <w:r>
      <w:rPr>
        <w:noProof/>
        <w:lang w:val="en-US"/>
      </w:rPr>
      <w:t xml:space="preserve">                   </w:t>
    </w:r>
    <w:r w:rsidR="00AA342E">
      <w:rPr>
        <w:noProof/>
        <w:lang w:val="en-US"/>
      </w:rPr>
      <w:t xml:space="preserve">   </w:t>
    </w:r>
    <w:r>
      <w:rPr>
        <w:noProof/>
        <w:lang w:val="en-US"/>
      </w:rPr>
      <w:t xml:space="preserve">   </w:t>
    </w:r>
    <w:r w:rsidR="00AA342E">
      <w:rPr>
        <w:noProof/>
        <w:lang w:val="en-US"/>
      </w:rPr>
      <w:t xml:space="preserve">   </w:t>
    </w:r>
    <w:r>
      <w:rPr>
        <w:noProof/>
        <w:lang w:val="en-US"/>
      </w:rPr>
      <w:t xml:space="preserve">      </w:t>
    </w:r>
    <w:r w:rsidR="00AA342E">
      <w:rPr>
        <w:noProof/>
        <w:lang w:val="en-US"/>
      </w:rPr>
      <w:t xml:space="preserve">  </w:t>
    </w:r>
    <w:r w:rsidR="00AA342E">
      <w:rPr>
        <w:noProof/>
        <w:lang w:val="en-US"/>
      </w:rPr>
      <w:drawing>
        <wp:inline distT="0" distB="0" distL="0" distR="0" wp14:anchorId="357F21F3" wp14:editId="7F8133D0">
          <wp:extent cx="1134110" cy="962025"/>
          <wp:effectExtent l="0" t="0" r="889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4110" cy="962025"/>
                  </a:xfrm>
                  <a:prstGeom prst="rect">
                    <a:avLst/>
                  </a:prstGeom>
                  <a:noFill/>
                </pic:spPr>
              </pic:pic>
            </a:graphicData>
          </a:graphic>
        </wp:inline>
      </w:drawing>
    </w:r>
    <w:r w:rsidR="00AA342E">
      <w:rPr>
        <w:noProof/>
        <w:lang w:val="en-US"/>
      </w:rPr>
      <w:t xml:space="preserve">     </w:t>
    </w:r>
    <w:r>
      <w:rPr>
        <w:noProof/>
        <w:lang w:val="en-US"/>
      </w:rPr>
      <w:t xml:space="preserve"> </w:t>
    </w:r>
    <w:r w:rsidR="00AA342E">
      <w:rPr>
        <w:noProof/>
        <w:lang w:val="en-US"/>
      </w:rPr>
      <w:t xml:space="preserve">   </w:t>
    </w:r>
    <w:r>
      <w:rPr>
        <w:noProof/>
        <w:lang w:val="en-US"/>
      </w:rPr>
      <w:t xml:space="preserve">    </w:t>
    </w:r>
  </w:p>
  <w:p w:rsidR="00681EE2" w:rsidRPr="00C24177" w:rsidRDefault="00681EE2" w:rsidP="00681EE2">
    <w:pPr>
      <w:pStyle w:val="Header"/>
      <w:jc w:val="center"/>
      <w:rPr>
        <w:rFonts w:ascii="Times New Roman" w:hAnsi="Times New Roman" w:cs="Times New Roman"/>
        <w:sz w:val="20"/>
        <w:szCs w:val="20"/>
      </w:rPr>
    </w:pPr>
    <w:r w:rsidRPr="00C24177">
      <w:rPr>
        <w:rFonts w:ascii="Times New Roman" w:hAnsi="Times New Roman" w:cs="Times New Roman"/>
        <w:sz w:val="20"/>
        <w:szCs w:val="20"/>
      </w:rPr>
      <w:t>Republika e Kosovës</w:t>
    </w:r>
  </w:p>
  <w:p w:rsidR="00681EE2" w:rsidRPr="00C24177" w:rsidRDefault="00681EE2" w:rsidP="00681EE2">
    <w:pPr>
      <w:pStyle w:val="Header"/>
      <w:jc w:val="center"/>
      <w:rPr>
        <w:rFonts w:ascii="Times New Roman" w:hAnsi="Times New Roman" w:cs="Times New Roman"/>
        <w:sz w:val="20"/>
        <w:szCs w:val="20"/>
      </w:rPr>
    </w:pPr>
    <w:r w:rsidRPr="00C24177">
      <w:rPr>
        <w:rFonts w:ascii="Times New Roman" w:hAnsi="Times New Roman" w:cs="Times New Roman"/>
        <w:sz w:val="20"/>
        <w:szCs w:val="20"/>
      </w:rPr>
      <w:t>Republika Kosova – Republic of Kosovo</w:t>
    </w:r>
  </w:p>
  <w:p w:rsidR="00681EE2" w:rsidRPr="00C24177" w:rsidRDefault="00681EE2" w:rsidP="00681EE2">
    <w:pPr>
      <w:pStyle w:val="Header"/>
      <w:jc w:val="center"/>
      <w:rPr>
        <w:rFonts w:ascii="Times New Roman" w:hAnsi="Times New Roman" w:cs="Times New Roman"/>
        <w:i/>
        <w:sz w:val="20"/>
        <w:szCs w:val="20"/>
      </w:rPr>
    </w:pPr>
    <w:r w:rsidRPr="00C24177">
      <w:rPr>
        <w:rFonts w:ascii="Times New Roman" w:hAnsi="Times New Roman" w:cs="Times New Roman"/>
        <w:i/>
        <w:sz w:val="20"/>
        <w:szCs w:val="20"/>
      </w:rPr>
      <w:t xml:space="preserve">                        </w:t>
    </w:r>
    <w:r w:rsidR="00C24177">
      <w:rPr>
        <w:rFonts w:ascii="Times New Roman" w:hAnsi="Times New Roman" w:cs="Times New Roman"/>
        <w:i/>
        <w:sz w:val="20"/>
        <w:szCs w:val="20"/>
      </w:rPr>
      <w:t xml:space="preserve">    </w:t>
    </w:r>
    <w:r w:rsidRPr="00C24177">
      <w:rPr>
        <w:rFonts w:ascii="Times New Roman" w:hAnsi="Times New Roman" w:cs="Times New Roman"/>
        <w:i/>
        <w:sz w:val="20"/>
        <w:szCs w:val="20"/>
      </w:rPr>
      <w:t xml:space="preserve"> Kuvendi – Skupština – Assembly</w:t>
    </w:r>
    <w:r w:rsidRPr="00C24177">
      <w:rPr>
        <w:rFonts w:ascii="Times New Roman" w:hAnsi="Times New Roman" w:cs="Times New Roman"/>
        <w:i/>
        <w:sz w:val="20"/>
        <w:szCs w:val="20"/>
      </w:rPr>
      <w:ptab w:relativeTo="margin" w:alignment="center" w:leader="none"/>
    </w:r>
  </w:p>
  <w:p w:rsidR="00312B29" w:rsidRPr="00011E7C" w:rsidRDefault="00312B29" w:rsidP="00011E7C">
    <w:pPr>
      <w:pStyle w:val="Header"/>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7476"/>
    <w:multiLevelType w:val="hybridMultilevel"/>
    <w:tmpl w:val="6B8AEADC"/>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 w15:restartNumberingAfterBreak="0">
    <w:nsid w:val="15A500A7"/>
    <w:multiLevelType w:val="hybridMultilevel"/>
    <w:tmpl w:val="D9A2A9B4"/>
    <w:lvl w:ilvl="0" w:tplc="5DB427D8">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F6BB1"/>
    <w:multiLevelType w:val="hybridMultilevel"/>
    <w:tmpl w:val="8652728E"/>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 w15:restartNumberingAfterBreak="0">
    <w:nsid w:val="18797ECA"/>
    <w:multiLevelType w:val="hybridMultilevel"/>
    <w:tmpl w:val="D918235E"/>
    <w:lvl w:ilvl="0" w:tplc="4426EB9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7700F"/>
    <w:multiLevelType w:val="hybridMultilevel"/>
    <w:tmpl w:val="A09281F8"/>
    <w:lvl w:ilvl="0" w:tplc="04090001">
      <w:start w:val="1"/>
      <w:numFmt w:val="bullet"/>
      <w:lvlText w:val=""/>
      <w:lvlJc w:val="left"/>
      <w:pPr>
        <w:ind w:left="3192" w:hanging="360"/>
      </w:pPr>
      <w:rPr>
        <w:rFonts w:ascii="Symbol" w:hAnsi="Symbol" w:hint="default"/>
      </w:rPr>
    </w:lvl>
    <w:lvl w:ilvl="1" w:tplc="04090003" w:tentative="1">
      <w:start w:val="1"/>
      <w:numFmt w:val="bullet"/>
      <w:lvlText w:val="o"/>
      <w:lvlJc w:val="left"/>
      <w:pPr>
        <w:ind w:left="3912" w:hanging="360"/>
      </w:pPr>
      <w:rPr>
        <w:rFonts w:ascii="Courier New" w:hAnsi="Courier New" w:cs="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cs="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cs="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5" w15:restartNumberingAfterBreak="0">
    <w:nsid w:val="2359514E"/>
    <w:multiLevelType w:val="hybridMultilevel"/>
    <w:tmpl w:val="6ECE6C44"/>
    <w:lvl w:ilvl="0" w:tplc="9AA42428">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C3923"/>
    <w:multiLevelType w:val="hybridMultilevel"/>
    <w:tmpl w:val="64D81072"/>
    <w:lvl w:ilvl="0" w:tplc="0409000F">
      <w:start w:val="1"/>
      <w:numFmt w:val="decimal"/>
      <w:lvlText w:val="%1."/>
      <w:lvlJc w:val="lef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 w15:restartNumberingAfterBreak="0">
    <w:nsid w:val="2A640A93"/>
    <w:multiLevelType w:val="hybridMultilevel"/>
    <w:tmpl w:val="727C9E9C"/>
    <w:lvl w:ilvl="0" w:tplc="945624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C2F34"/>
    <w:multiLevelType w:val="hybridMultilevel"/>
    <w:tmpl w:val="5352027E"/>
    <w:lvl w:ilvl="0" w:tplc="0409000F">
      <w:start w:val="1"/>
      <w:numFmt w:val="decimal"/>
      <w:lvlText w:val="%1."/>
      <w:lvlJc w:val="left"/>
      <w:pPr>
        <w:ind w:left="2136" w:hanging="360"/>
      </w:p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9" w15:restartNumberingAfterBreak="0">
    <w:nsid w:val="69F119EC"/>
    <w:multiLevelType w:val="hybridMultilevel"/>
    <w:tmpl w:val="4D88E09C"/>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0" w15:restartNumberingAfterBreak="0">
    <w:nsid w:val="6A080AD0"/>
    <w:multiLevelType w:val="hybridMultilevel"/>
    <w:tmpl w:val="DD70B28C"/>
    <w:lvl w:ilvl="0" w:tplc="04090001">
      <w:start w:val="1"/>
      <w:numFmt w:val="bullet"/>
      <w:lvlText w:val=""/>
      <w:lvlJc w:val="left"/>
      <w:pPr>
        <w:ind w:left="2844" w:hanging="360"/>
      </w:pPr>
      <w:rPr>
        <w:rFonts w:ascii="Symbol" w:hAnsi="Symbol" w:hint="default"/>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11" w15:restartNumberingAfterBreak="0">
    <w:nsid w:val="6D412C67"/>
    <w:multiLevelType w:val="hybridMultilevel"/>
    <w:tmpl w:val="06EA83A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79C26332"/>
    <w:multiLevelType w:val="hybridMultilevel"/>
    <w:tmpl w:val="3ADC9D70"/>
    <w:lvl w:ilvl="0" w:tplc="022EE678">
      <w:start w:val="1"/>
      <w:numFmt w:val="decimal"/>
      <w:lvlText w:val="%1."/>
      <w:lvlJc w:val="left"/>
      <w:pPr>
        <w:ind w:left="2835" w:hanging="705"/>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num w:numId="1">
    <w:abstractNumId w:val="11"/>
  </w:num>
  <w:num w:numId="2">
    <w:abstractNumId w:val="0"/>
  </w:num>
  <w:num w:numId="3">
    <w:abstractNumId w:val="2"/>
  </w:num>
  <w:num w:numId="4">
    <w:abstractNumId w:val="9"/>
  </w:num>
  <w:num w:numId="5">
    <w:abstractNumId w:val="10"/>
  </w:num>
  <w:num w:numId="6">
    <w:abstractNumId w:val="4"/>
  </w:num>
  <w:num w:numId="7">
    <w:abstractNumId w:val="6"/>
  </w:num>
  <w:num w:numId="8">
    <w:abstractNumId w:val="1"/>
  </w:num>
  <w:num w:numId="9">
    <w:abstractNumId w:val="8"/>
  </w:num>
  <w:num w:numId="10">
    <w:abstractNumId w:val="12"/>
  </w:num>
  <w:num w:numId="11">
    <w:abstractNumId w:val="3"/>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55"/>
    <w:rsid w:val="00006ADB"/>
    <w:rsid w:val="0000710F"/>
    <w:rsid w:val="00011E7C"/>
    <w:rsid w:val="00011EB1"/>
    <w:rsid w:val="00015452"/>
    <w:rsid w:val="000359A6"/>
    <w:rsid w:val="000463B6"/>
    <w:rsid w:val="00046DD2"/>
    <w:rsid w:val="00074AED"/>
    <w:rsid w:val="00074FB6"/>
    <w:rsid w:val="00087472"/>
    <w:rsid w:val="000D1A1A"/>
    <w:rsid w:val="000E13ED"/>
    <w:rsid w:val="00106062"/>
    <w:rsid w:val="001221C2"/>
    <w:rsid w:val="001353ED"/>
    <w:rsid w:val="001542E2"/>
    <w:rsid w:val="0019396A"/>
    <w:rsid w:val="001B7144"/>
    <w:rsid w:val="001F5A95"/>
    <w:rsid w:val="001F5DA4"/>
    <w:rsid w:val="00201EC2"/>
    <w:rsid w:val="00221ADD"/>
    <w:rsid w:val="002331C4"/>
    <w:rsid w:val="0024713E"/>
    <w:rsid w:val="0026099D"/>
    <w:rsid w:val="00274CA4"/>
    <w:rsid w:val="002800C9"/>
    <w:rsid w:val="002814CD"/>
    <w:rsid w:val="00284615"/>
    <w:rsid w:val="00297E77"/>
    <w:rsid w:val="002B296C"/>
    <w:rsid w:val="002B38AC"/>
    <w:rsid w:val="002F44BC"/>
    <w:rsid w:val="003043F1"/>
    <w:rsid w:val="0031079C"/>
    <w:rsid w:val="00312B29"/>
    <w:rsid w:val="00317BAE"/>
    <w:rsid w:val="00377084"/>
    <w:rsid w:val="0038703B"/>
    <w:rsid w:val="0039135F"/>
    <w:rsid w:val="003927EB"/>
    <w:rsid w:val="00395963"/>
    <w:rsid w:val="003A3A9C"/>
    <w:rsid w:val="003C37B7"/>
    <w:rsid w:val="003C4F82"/>
    <w:rsid w:val="003F72D1"/>
    <w:rsid w:val="00401CBB"/>
    <w:rsid w:val="0043598A"/>
    <w:rsid w:val="0044270B"/>
    <w:rsid w:val="00445E92"/>
    <w:rsid w:val="00453ED9"/>
    <w:rsid w:val="00454A73"/>
    <w:rsid w:val="00456493"/>
    <w:rsid w:val="004A393D"/>
    <w:rsid w:val="004E2802"/>
    <w:rsid w:val="004E58AC"/>
    <w:rsid w:val="00501DFE"/>
    <w:rsid w:val="005173F6"/>
    <w:rsid w:val="00520655"/>
    <w:rsid w:val="005279BE"/>
    <w:rsid w:val="00531328"/>
    <w:rsid w:val="0053275F"/>
    <w:rsid w:val="00543E6E"/>
    <w:rsid w:val="005546C6"/>
    <w:rsid w:val="00555846"/>
    <w:rsid w:val="0056735C"/>
    <w:rsid w:val="005808B3"/>
    <w:rsid w:val="0058372A"/>
    <w:rsid w:val="00587A89"/>
    <w:rsid w:val="0059582B"/>
    <w:rsid w:val="005D046F"/>
    <w:rsid w:val="005E2832"/>
    <w:rsid w:val="005E6C31"/>
    <w:rsid w:val="005E79DD"/>
    <w:rsid w:val="005F1507"/>
    <w:rsid w:val="005F3DA5"/>
    <w:rsid w:val="006009BD"/>
    <w:rsid w:val="006043F2"/>
    <w:rsid w:val="0062125D"/>
    <w:rsid w:val="00623EDA"/>
    <w:rsid w:val="006344A7"/>
    <w:rsid w:val="0066126F"/>
    <w:rsid w:val="006621AD"/>
    <w:rsid w:val="00665569"/>
    <w:rsid w:val="00681EE2"/>
    <w:rsid w:val="00684269"/>
    <w:rsid w:val="006872D8"/>
    <w:rsid w:val="006A36D2"/>
    <w:rsid w:val="006C0AD4"/>
    <w:rsid w:val="006D1254"/>
    <w:rsid w:val="006D1482"/>
    <w:rsid w:val="006E0D1C"/>
    <w:rsid w:val="006F0579"/>
    <w:rsid w:val="006F48CC"/>
    <w:rsid w:val="00714558"/>
    <w:rsid w:val="00717AE3"/>
    <w:rsid w:val="007225DA"/>
    <w:rsid w:val="00743154"/>
    <w:rsid w:val="007800FF"/>
    <w:rsid w:val="007A43BA"/>
    <w:rsid w:val="007B6D80"/>
    <w:rsid w:val="007C7D8D"/>
    <w:rsid w:val="007D1D13"/>
    <w:rsid w:val="007D30F6"/>
    <w:rsid w:val="007E7516"/>
    <w:rsid w:val="007F73EC"/>
    <w:rsid w:val="0080154A"/>
    <w:rsid w:val="00805D51"/>
    <w:rsid w:val="008252D9"/>
    <w:rsid w:val="008713BA"/>
    <w:rsid w:val="00875DB4"/>
    <w:rsid w:val="00891258"/>
    <w:rsid w:val="00892A0A"/>
    <w:rsid w:val="008A77FE"/>
    <w:rsid w:val="008B2105"/>
    <w:rsid w:val="008D5C60"/>
    <w:rsid w:val="00911899"/>
    <w:rsid w:val="00932157"/>
    <w:rsid w:val="0093237C"/>
    <w:rsid w:val="009442AB"/>
    <w:rsid w:val="00944CC5"/>
    <w:rsid w:val="00950E80"/>
    <w:rsid w:val="00960595"/>
    <w:rsid w:val="009913FB"/>
    <w:rsid w:val="00992D8B"/>
    <w:rsid w:val="009B03A8"/>
    <w:rsid w:val="009B087F"/>
    <w:rsid w:val="009C7A99"/>
    <w:rsid w:val="009D2BEB"/>
    <w:rsid w:val="009E3CDC"/>
    <w:rsid w:val="009F4159"/>
    <w:rsid w:val="009F6016"/>
    <w:rsid w:val="00A07EA1"/>
    <w:rsid w:val="00A13150"/>
    <w:rsid w:val="00AA342E"/>
    <w:rsid w:val="00AE2BEA"/>
    <w:rsid w:val="00AF1AFF"/>
    <w:rsid w:val="00B16180"/>
    <w:rsid w:val="00B1756E"/>
    <w:rsid w:val="00B464D0"/>
    <w:rsid w:val="00BB0823"/>
    <w:rsid w:val="00BC6E04"/>
    <w:rsid w:val="00BD3073"/>
    <w:rsid w:val="00BE3531"/>
    <w:rsid w:val="00C178AC"/>
    <w:rsid w:val="00C24177"/>
    <w:rsid w:val="00C34B51"/>
    <w:rsid w:val="00C500AC"/>
    <w:rsid w:val="00C54ECD"/>
    <w:rsid w:val="00C804C1"/>
    <w:rsid w:val="00CC475A"/>
    <w:rsid w:val="00CD7725"/>
    <w:rsid w:val="00CF65C1"/>
    <w:rsid w:val="00D153BD"/>
    <w:rsid w:val="00D23249"/>
    <w:rsid w:val="00D44F1C"/>
    <w:rsid w:val="00D52272"/>
    <w:rsid w:val="00D56B38"/>
    <w:rsid w:val="00D7177F"/>
    <w:rsid w:val="00D736D7"/>
    <w:rsid w:val="00D737A9"/>
    <w:rsid w:val="00D8550C"/>
    <w:rsid w:val="00D9070A"/>
    <w:rsid w:val="00D94A1F"/>
    <w:rsid w:val="00DA1579"/>
    <w:rsid w:val="00DB6F22"/>
    <w:rsid w:val="00DC17F1"/>
    <w:rsid w:val="00DD5D8A"/>
    <w:rsid w:val="00DE14EC"/>
    <w:rsid w:val="00DE315F"/>
    <w:rsid w:val="00DF1F8C"/>
    <w:rsid w:val="00E227CC"/>
    <w:rsid w:val="00E53C1D"/>
    <w:rsid w:val="00E54320"/>
    <w:rsid w:val="00EA7E98"/>
    <w:rsid w:val="00EE4BEA"/>
    <w:rsid w:val="00EF2E0F"/>
    <w:rsid w:val="00F046A3"/>
    <w:rsid w:val="00F0553D"/>
    <w:rsid w:val="00F0749F"/>
    <w:rsid w:val="00F138B9"/>
    <w:rsid w:val="00F366DA"/>
    <w:rsid w:val="00F424EB"/>
    <w:rsid w:val="00F55FBE"/>
    <w:rsid w:val="00F65573"/>
    <w:rsid w:val="00F67B3F"/>
    <w:rsid w:val="00F86EB5"/>
    <w:rsid w:val="00F91C8F"/>
    <w:rsid w:val="00F95BAB"/>
    <w:rsid w:val="00FA519A"/>
    <w:rsid w:val="00FF48D5"/>
    <w:rsid w:val="00FF7F5D"/>
  </w:rsids>
  <m:mathPr>
    <m:mathFont m:val="Cambria Math"/>
    <m:brkBin m:val="before"/>
    <m:brkBinSub m:val="--"/>
    <m:smallFrac m:val="0"/>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61C4A"/>
  <w15:docId w15:val="{47D70DD0-0219-45B2-9AB3-138BD865C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482"/>
    <w:pPr>
      <w:spacing w:after="0" w:line="264" w:lineRule="atLeast"/>
      <w:jc w:val="both"/>
    </w:pPr>
    <w:rPr>
      <w:rFonts w:ascii="Arial" w:eastAsia="Calibri" w:hAnsi="Arial" w:cs="Times New Roman"/>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0655"/>
    <w:pPr>
      <w:spacing w:after="160" w:line="259" w:lineRule="auto"/>
      <w:ind w:left="720"/>
      <w:contextualSpacing/>
      <w:jc w:val="left"/>
    </w:pPr>
    <w:rPr>
      <w:rFonts w:asciiTheme="minorHAnsi" w:eastAsiaTheme="minorHAnsi" w:hAnsiTheme="minorHAnsi" w:cstheme="minorBidi"/>
      <w:lang w:val="sq-AL"/>
    </w:rPr>
  </w:style>
  <w:style w:type="paragraph" w:styleId="BalloonText">
    <w:name w:val="Balloon Text"/>
    <w:basedOn w:val="Normal"/>
    <w:link w:val="BalloonTextChar"/>
    <w:uiPriority w:val="99"/>
    <w:semiHidden/>
    <w:unhideWhenUsed/>
    <w:rsid w:val="00312B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B29"/>
    <w:rPr>
      <w:rFonts w:ascii="Segoe UI" w:hAnsi="Segoe UI" w:cs="Segoe UI"/>
      <w:sz w:val="18"/>
      <w:szCs w:val="18"/>
      <w:lang w:val="sq-AL"/>
    </w:rPr>
  </w:style>
  <w:style w:type="paragraph" w:styleId="Header">
    <w:name w:val="header"/>
    <w:basedOn w:val="Normal"/>
    <w:link w:val="HeaderChar"/>
    <w:uiPriority w:val="99"/>
    <w:unhideWhenUsed/>
    <w:rsid w:val="00312B29"/>
    <w:pPr>
      <w:tabs>
        <w:tab w:val="center" w:pos="4680"/>
        <w:tab w:val="right" w:pos="9360"/>
      </w:tabs>
      <w:spacing w:line="240" w:lineRule="auto"/>
      <w:jc w:val="left"/>
    </w:pPr>
    <w:rPr>
      <w:rFonts w:asciiTheme="minorHAnsi" w:eastAsiaTheme="minorHAnsi" w:hAnsiTheme="minorHAnsi" w:cstheme="minorBidi"/>
      <w:lang w:val="sq-AL"/>
    </w:rPr>
  </w:style>
  <w:style w:type="character" w:customStyle="1" w:styleId="HeaderChar">
    <w:name w:val="Header Char"/>
    <w:basedOn w:val="DefaultParagraphFont"/>
    <w:link w:val="Header"/>
    <w:uiPriority w:val="99"/>
    <w:rsid w:val="00312B29"/>
    <w:rPr>
      <w:lang w:val="sq-AL"/>
    </w:rPr>
  </w:style>
  <w:style w:type="paragraph" w:styleId="Footer">
    <w:name w:val="footer"/>
    <w:basedOn w:val="Normal"/>
    <w:link w:val="FooterChar"/>
    <w:uiPriority w:val="99"/>
    <w:unhideWhenUsed/>
    <w:rsid w:val="00312B29"/>
    <w:pPr>
      <w:tabs>
        <w:tab w:val="center" w:pos="4680"/>
        <w:tab w:val="right" w:pos="9360"/>
      </w:tabs>
      <w:spacing w:line="240" w:lineRule="auto"/>
      <w:jc w:val="left"/>
    </w:pPr>
    <w:rPr>
      <w:rFonts w:asciiTheme="minorHAnsi" w:eastAsiaTheme="minorHAnsi" w:hAnsiTheme="minorHAnsi" w:cstheme="minorBidi"/>
      <w:lang w:val="sq-AL"/>
    </w:rPr>
  </w:style>
  <w:style w:type="character" w:customStyle="1" w:styleId="FooterChar">
    <w:name w:val="Footer Char"/>
    <w:basedOn w:val="DefaultParagraphFont"/>
    <w:link w:val="Footer"/>
    <w:uiPriority w:val="99"/>
    <w:rsid w:val="00312B29"/>
    <w:rPr>
      <w:lang w:val="sq-AL"/>
    </w:rPr>
  </w:style>
  <w:style w:type="character" w:styleId="Hyperlink">
    <w:name w:val="Hyperlink"/>
    <w:basedOn w:val="DefaultParagraphFont"/>
    <w:uiPriority w:val="99"/>
    <w:unhideWhenUsed/>
    <w:rsid w:val="00D737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1C88-052A-440A-8F94-65000EFF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genc dobroshi</dc:creator>
  <cp:lastModifiedBy>Biljana  Ognenovska</cp:lastModifiedBy>
  <cp:revision>3</cp:revision>
  <cp:lastPrinted>2020-01-20T13:11:00Z</cp:lastPrinted>
  <dcterms:created xsi:type="dcterms:W3CDTF">2020-06-24T10:43:00Z</dcterms:created>
  <dcterms:modified xsi:type="dcterms:W3CDTF">2020-06-24T10:46:00Z</dcterms:modified>
</cp:coreProperties>
</file>